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B1452" w14:textId="77777777" w:rsidR="00F06491" w:rsidRDefault="00F06491" w:rsidP="00F06491">
      <w:pPr>
        <w:pStyle w:val="a3"/>
        <w:shd w:val="clear" w:color="auto" w:fill="FFFFFF"/>
        <w:spacing w:before="0" w:beforeAutospacing="0" w:after="240" w:afterAutospacing="0"/>
        <w:rPr>
          <w:rFonts w:ascii="Roboto" w:hAnsi="Roboto"/>
          <w:color w:val="464646"/>
          <w:sz w:val="21"/>
          <w:szCs w:val="21"/>
        </w:rPr>
      </w:pPr>
      <w:r>
        <w:rPr>
          <w:rStyle w:val="a4"/>
          <w:rFonts w:ascii="Roboto" w:hAnsi="Roboto"/>
          <w:color w:val="464646"/>
          <w:sz w:val="21"/>
          <w:szCs w:val="21"/>
        </w:rPr>
        <w:t>Вопрос</w:t>
      </w:r>
      <w:proofErr w:type="gramStart"/>
      <w:r>
        <w:rPr>
          <w:rFonts w:ascii="Roboto" w:hAnsi="Roboto"/>
          <w:color w:val="464646"/>
          <w:sz w:val="21"/>
          <w:szCs w:val="21"/>
        </w:rPr>
        <w:t>: О</w:t>
      </w:r>
      <w:proofErr w:type="gramEnd"/>
      <w:r>
        <w:rPr>
          <w:rFonts w:ascii="Roboto" w:hAnsi="Roboto"/>
          <w:color w:val="464646"/>
          <w:sz w:val="21"/>
          <w:szCs w:val="21"/>
        </w:rPr>
        <w:t xml:space="preserve"> страховых взносах и НДФЛ с сумм компенсаций расходов дистанционных работников на использование в работе принадлежащих им оборудования и программно-технических средств.</w:t>
      </w:r>
    </w:p>
    <w:p w14:paraId="537754AC" w14:textId="77777777" w:rsidR="00F06491" w:rsidRDefault="00F06491" w:rsidP="00F06491">
      <w:pPr>
        <w:pStyle w:val="a3"/>
        <w:shd w:val="clear" w:color="auto" w:fill="FFFFFF"/>
        <w:spacing w:before="240" w:beforeAutospacing="0" w:after="240" w:afterAutospacing="0"/>
        <w:rPr>
          <w:rFonts w:ascii="Roboto" w:hAnsi="Roboto"/>
          <w:color w:val="464646"/>
          <w:sz w:val="21"/>
          <w:szCs w:val="21"/>
        </w:rPr>
      </w:pPr>
      <w:r>
        <w:rPr>
          <w:rStyle w:val="a4"/>
          <w:rFonts w:ascii="Roboto" w:hAnsi="Roboto"/>
          <w:color w:val="464646"/>
          <w:sz w:val="21"/>
          <w:szCs w:val="21"/>
        </w:rPr>
        <w:t>Ответ</w:t>
      </w:r>
      <w:r>
        <w:rPr>
          <w:rFonts w:ascii="Roboto" w:hAnsi="Roboto"/>
          <w:color w:val="464646"/>
          <w:sz w:val="21"/>
          <w:szCs w:val="21"/>
        </w:rPr>
        <w:t>:</w:t>
      </w:r>
    </w:p>
    <w:p w14:paraId="23F81DE2" w14:textId="77777777" w:rsidR="00F06491" w:rsidRDefault="00F06491" w:rsidP="00F06491">
      <w:pPr>
        <w:pStyle w:val="a3"/>
        <w:shd w:val="clear" w:color="auto" w:fill="FFFFFF"/>
        <w:spacing w:before="240" w:beforeAutospacing="0" w:after="240" w:afterAutospacing="0"/>
        <w:jc w:val="center"/>
        <w:rPr>
          <w:rFonts w:ascii="Roboto" w:hAnsi="Roboto"/>
          <w:color w:val="464646"/>
          <w:sz w:val="21"/>
          <w:szCs w:val="21"/>
        </w:rPr>
      </w:pPr>
      <w:r>
        <w:rPr>
          <w:rFonts w:ascii="Roboto" w:hAnsi="Roboto"/>
          <w:color w:val="464646"/>
          <w:sz w:val="21"/>
          <w:szCs w:val="21"/>
        </w:rPr>
        <w:t>МИНИСТЕРСТВО ФИНАНСОВ РОССИЙСКОЙ ФЕДЕРАЦИИ</w:t>
      </w:r>
    </w:p>
    <w:p w14:paraId="009F20F3" w14:textId="77777777" w:rsidR="00F06491" w:rsidRDefault="00F06491" w:rsidP="00F06491">
      <w:pPr>
        <w:pStyle w:val="a3"/>
        <w:shd w:val="clear" w:color="auto" w:fill="FFFFFF"/>
        <w:spacing w:before="240" w:beforeAutospacing="0" w:after="240" w:afterAutospacing="0"/>
        <w:jc w:val="center"/>
        <w:rPr>
          <w:rFonts w:ascii="Roboto" w:hAnsi="Roboto"/>
          <w:color w:val="464646"/>
          <w:sz w:val="21"/>
          <w:szCs w:val="21"/>
        </w:rPr>
      </w:pPr>
      <w:r>
        <w:rPr>
          <w:rFonts w:ascii="Roboto" w:hAnsi="Roboto"/>
          <w:color w:val="464646"/>
          <w:sz w:val="21"/>
          <w:szCs w:val="21"/>
        </w:rPr>
        <w:t>ПИСЬМО</w:t>
      </w:r>
      <w:r>
        <w:rPr>
          <w:rFonts w:ascii="Roboto" w:hAnsi="Roboto"/>
          <w:color w:val="464646"/>
          <w:sz w:val="21"/>
          <w:szCs w:val="21"/>
        </w:rPr>
        <w:br/>
        <w:t>от 29 октября 2020 г. N 03-04-06/94269</w:t>
      </w:r>
    </w:p>
    <w:p w14:paraId="73BFC671" w14:textId="77777777" w:rsidR="00F06491" w:rsidRDefault="00F06491" w:rsidP="00F06491">
      <w:pPr>
        <w:pStyle w:val="a3"/>
        <w:shd w:val="clear" w:color="auto" w:fill="FFFFFF"/>
        <w:spacing w:before="240" w:beforeAutospacing="0" w:after="240" w:afterAutospacing="0"/>
        <w:rPr>
          <w:rFonts w:ascii="Roboto" w:hAnsi="Roboto"/>
          <w:color w:val="464646"/>
          <w:sz w:val="21"/>
          <w:szCs w:val="21"/>
        </w:rPr>
      </w:pPr>
      <w:r>
        <w:rPr>
          <w:rFonts w:ascii="Roboto" w:hAnsi="Roboto"/>
          <w:color w:val="464646"/>
          <w:sz w:val="21"/>
          <w:szCs w:val="21"/>
        </w:rPr>
        <w:t>Департамент налоговой политики рассмотрел письмо ЗАО от 26.08.2020 по вопросу обложения налогом на доходы физических лиц и страховыми взносами компенсаций за использование дистанционными работниками принадлежащих им оборудования, программно-технических и иных средств в целях выполнения работы и в соответствии со статьей 34.2 Налогового кодекса Российской Федерации (далее — Кодекс) сообщает следующее.</w:t>
      </w:r>
      <w:r>
        <w:rPr>
          <w:rFonts w:ascii="Roboto" w:hAnsi="Roboto"/>
          <w:color w:val="464646"/>
          <w:sz w:val="21"/>
          <w:szCs w:val="21"/>
        </w:rPr>
        <w:br/>
        <w:t>Подпунктом 1 пункта 1 статьи 420 Кодекса определено, что объектом обложения страховыми взносами для организаций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подпункте 2 пункта 1 статьи 419 Кодекса), в частности, в рамках трудовых отношений.</w:t>
      </w:r>
      <w:r>
        <w:rPr>
          <w:rFonts w:ascii="Roboto" w:hAnsi="Roboto"/>
          <w:color w:val="464646"/>
          <w:sz w:val="21"/>
          <w:szCs w:val="21"/>
        </w:rPr>
        <w:br/>
        <w:t>В соответствии с пунктом 1 статьи 421 Кодекса база для исчисления страховых взносов для организаций определяется по истечении каждого календарного месяца как сумма выплат и иных вознаграждений, предусмотренных пунктом 1 статьи 420 Кодекса, начисленных отдельно в отношении каждого физического лица с начала расчетного периода нарастающим итогом, за исключением сумм, указанных в статье 422 Кодекса.</w:t>
      </w:r>
      <w:r>
        <w:rPr>
          <w:rFonts w:ascii="Roboto" w:hAnsi="Roboto"/>
          <w:color w:val="464646"/>
          <w:sz w:val="21"/>
          <w:szCs w:val="21"/>
        </w:rPr>
        <w:br/>
        <w:t>На основании положений абзаца десятого подпункта 2 пункта 1 статьи 422 Кодекса не подлежат обложению страховыми взносами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выполнением физическим лицом трудовых обязанностей.</w:t>
      </w:r>
      <w:r>
        <w:rPr>
          <w:rFonts w:ascii="Roboto" w:hAnsi="Roboto"/>
          <w:color w:val="464646"/>
          <w:sz w:val="21"/>
          <w:szCs w:val="21"/>
        </w:rPr>
        <w:br/>
        <w:t>Согласно пункту 1 статьи 210 Кодекса при определении налоговой базы по налогу на доходы физических лиц учитываются все доходы налогоплательщика, полученные им как в денежной, так и в натуральной форме, или право на распоряжение которыми у него возникло, а также доходы в виде материальной выгоды.</w:t>
      </w:r>
      <w:r>
        <w:rPr>
          <w:rFonts w:ascii="Roboto" w:hAnsi="Roboto"/>
          <w:color w:val="464646"/>
          <w:sz w:val="21"/>
          <w:szCs w:val="21"/>
        </w:rPr>
        <w:br/>
        <w:t>Перечень доходов, освобождаемых от обложения налогом на доходы физических лиц, содержится в статье 217 Кодекса.</w:t>
      </w:r>
      <w:r>
        <w:rPr>
          <w:rFonts w:ascii="Roboto" w:hAnsi="Roboto"/>
          <w:color w:val="464646"/>
          <w:sz w:val="21"/>
          <w:szCs w:val="21"/>
        </w:rPr>
        <w:br/>
        <w:t>В соответствии с пунктом 1 статьи 217 Кодекса не подлежат обложению налогом на доходы физических лиц, если иное не предусмотрено данным пунктом, все виды компенсационных выплат,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пределах норм, установленных в соответствии с законодательством Российской Федерации), связанных, в частности, с исполнением налогоплательщиком трудовых обязанностей.</w:t>
      </w:r>
      <w:r>
        <w:rPr>
          <w:rFonts w:ascii="Roboto" w:hAnsi="Roboto"/>
          <w:color w:val="464646"/>
          <w:sz w:val="21"/>
          <w:szCs w:val="21"/>
        </w:rPr>
        <w:br/>
        <w:t>Понятие компенсаций, связанных с исполнением физическим лицом трудовых обязанностей, а также случаи их предоставления определены Трудовым кодексом Российской Федерации (далее — Трудовой кодекс).</w:t>
      </w:r>
      <w:r>
        <w:rPr>
          <w:rFonts w:ascii="Roboto" w:hAnsi="Roboto"/>
          <w:color w:val="464646"/>
          <w:sz w:val="21"/>
          <w:szCs w:val="21"/>
        </w:rPr>
        <w:br/>
        <w:t>Статьей 164 Трудового кодекса предусмотрено, что компенсации представляют собой денежные выплаты, установленные в целях возмещения работникам затрат, связанных с исполнением ими трудовых или иных обязанностей, предусмотренных Трудовым кодексом и другими федеральными законами.</w:t>
      </w:r>
      <w:r>
        <w:rPr>
          <w:rFonts w:ascii="Roboto" w:hAnsi="Roboto"/>
          <w:color w:val="464646"/>
          <w:sz w:val="21"/>
          <w:szCs w:val="21"/>
        </w:rPr>
        <w:br/>
        <w:t>В соответствии со статьей 312.3 Трудового кодекса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r>
        <w:rPr>
          <w:rFonts w:ascii="Roboto" w:hAnsi="Roboto"/>
          <w:color w:val="464646"/>
          <w:sz w:val="21"/>
          <w:szCs w:val="21"/>
        </w:rPr>
        <w:br/>
        <w:t xml:space="preserve">Таким образом, суммы компенсаций расходов дистанционных работников на использование </w:t>
      </w:r>
      <w:r>
        <w:rPr>
          <w:rFonts w:ascii="Roboto" w:hAnsi="Roboto"/>
          <w:color w:val="464646"/>
          <w:sz w:val="21"/>
          <w:szCs w:val="21"/>
        </w:rPr>
        <w:lastRenderedPageBreak/>
        <w:t>принадлежащих им оборудования и программно-технических средств не подлежат обложению страховыми взносами и налогом на доходы физических лиц в размере, определяемом трудовым договором о дистанционной работе между организацией и работниками.</w:t>
      </w:r>
      <w:r>
        <w:rPr>
          <w:rFonts w:ascii="Roboto" w:hAnsi="Roboto"/>
          <w:color w:val="464646"/>
          <w:sz w:val="21"/>
          <w:szCs w:val="21"/>
        </w:rPr>
        <w:br/>
        <w:t>При этом размер возмещения указанных расходов должен соответствовать экономически обоснованным затратам, связанным с фактическим использованием работником личного оборудования (средств) для целей трудовой деятельности. То есть организация должна располагать копиями документов, подтверждающих расходы, понесенные работником при использовании личного оборудования (средств) в служебных целях.</w:t>
      </w:r>
      <w:r>
        <w:rPr>
          <w:rFonts w:ascii="Roboto" w:hAnsi="Roboto"/>
          <w:color w:val="464646"/>
          <w:sz w:val="21"/>
          <w:szCs w:val="21"/>
        </w:rPr>
        <w:br/>
        <w:t>Одновременно сообщается, что 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направленные налогоплательщикам и (или) налоговым агентам, имеют информационно-разъяснительный характер и не препятствуют налогоплательщикам, налоговым органам и налоговым агентам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14:paraId="1F2CD7C9" w14:textId="77777777" w:rsidR="00F06491" w:rsidRDefault="00F06491" w:rsidP="00F06491">
      <w:pPr>
        <w:pStyle w:val="a3"/>
        <w:shd w:val="clear" w:color="auto" w:fill="FFFFFF"/>
        <w:spacing w:before="240" w:beforeAutospacing="0" w:after="240" w:afterAutospacing="0"/>
        <w:jc w:val="right"/>
        <w:rPr>
          <w:rFonts w:ascii="Roboto" w:hAnsi="Roboto"/>
          <w:color w:val="464646"/>
          <w:sz w:val="21"/>
          <w:szCs w:val="21"/>
        </w:rPr>
      </w:pPr>
      <w:r>
        <w:rPr>
          <w:rFonts w:ascii="Roboto" w:hAnsi="Roboto"/>
          <w:color w:val="464646"/>
          <w:sz w:val="21"/>
          <w:szCs w:val="21"/>
        </w:rPr>
        <w:t>Заместитель директора Департамента</w:t>
      </w:r>
      <w:r>
        <w:rPr>
          <w:rFonts w:ascii="Roboto" w:hAnsi="Roboto"/>
          <w:color w:val="464646"/>
          <w:sz w:val="21"/>
          <w:szCs w:val="21"/>
        </w:rPr>
        <w:br/>
        <w:t>В.В.САШИЧЕВ</w:t>
      </w:r>
      <w:r>
        <w:rPr>
          <w:rFonts w:ascii="Roboto" w:hAnsi="Roboto"/>
          <w:color w:val="464646"/>
          <w:sz w:val="21"/>
          <w:szCs w:val="21"/>
        </w:rPr>
        <w:br/>
        <w:t>29.10.2020</w:t>
      </w:r>
    </w:p>
    <w:p w14:paraId="1259CFEE" w14:textId="77777777" w:rsidR="00194655" w:rsidRDefault="00F06491"/>
    <w:sectPr w:rsidR="00194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91"/>
    <w:rsid w:val="0041744B"/>
    <w:rsid w:val="00D37FEF"/>
    <w:rsid w:val="00F0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648E"/>
  <w15:chartTrackingRefBased/>
  <w15:docId w15:val="{6E757FFA-EA45-496B-9F23-9DFA8E99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6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Ярослав</cp:lastModifiedBy>
  <cp:revision>1</cp:revision>
  <dcterms:created xsi:type="dcterms:W3CDTF">2020-11-16T09:02:00Z</dcterms:created>
  <dcterms:modified xsi:type="dcterms:W3CDTF">2020-11-16T09:02:00Z</dcterms:modified>
</cp:coreProperties>
</file>